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7B" w:rsidRDefault="003B087B" w:rsidP="00573B91">
      <w:pPr>
        <w:widowControl w:val="0"/>
        <w:autoSpaceDE w:val="0"/>
        <w:autoSpaceDN w:val="0"/>
        <w:adjustRightInd w:val="0"/>
        <w:spacing w:after="0" w:line="435" w:lineRule="exact"/>
        <w:ind w:left="972" w:right="-20"/>
        <w:rPr>
          <w:rFonts w:ascii="Arial" w:hAnsi="Arial" w:cs="Arial"/>
          <w:b/>
          <w:bCs/>
          <w:i/>
          <w:iCs/>
          <w:color w:val="4E81BD"/>
          <w:w w:val="101"/>
          <w:sz w:val="42"/>
          <w:szCs w:val="42"/>
          <w:lang w:val="es-ES"/>
        </w:rPr>
      </w:pPr>
      <w:bookmarkStart w:id="0" w:name="_GoBack"/>
      <w:bookmarkEnd w:id="0"/>
    </w:p>
    <w:p w:rsidR="00560C61" w:rsidRPr="00B07FF1" w:rsidRDefault="00B07FF1" w:rsidP="00573B91">
      <w:pPr>
        <w:widowControl w:val="0"/>
        <w:autoSpaceDE w:val="0"/>
        <w:autoSpaceDN w:val="0"/>
        <w:adjustRightInd w:val="0"/>
        <w:spacing w:after="0" w:line="435" w:lineRule="exact"/>
        <w:ind w:left="972" w:right="-20"/>
        <w:rPr>
          <w:rFonts w:ascii="Arial" w:hAnsi="Arial" w:cs="Arial"/>
          <w:b/>
          <w:bCs/>
          <w:i/>
          <w:iCs/>
          <w:color w:val="4E81BD"/>
          <w:w w:val="101"/>
          <w:sz w:val="42"/>
          <w:szCs w:val="42"/>
          <w:lang w:val="es-ES"/>
        </w:rPr>
      </w:pPr>
      <w:r w:rsidRPr="00B07FF1">
        <w:rPr>
          <w:rFonts w:ascii="Arial" w:hAnsi="Arial" w:cs="Arial"/>
          <w:b/>
          <w:bCs/>
          <w:i/>
          <w:iCs/>
          <w:color w:val="4E81BD"/>
          <w:w w:val="101"/>
          <w:sz w:val="42"/>
          <w:szCs w:val="42"/>
          <w:lang w:val="es-ES"/>
        </w:rPr>
        <w:t>Perspectivas para la lira turca</w:t>
      </w:r>
    </w:p>
    <w:p w:rsidR="00A325C4" w:rsidRPr="00B07FF1" w:rsidRDefault="00A325C4" w:rsidP="00560C61">
      <w:pPr>
        <w:widowControl w:val="0"/>
        <w:autoSpaceDE w:val="0"/>
        <w:autoSpaceDN w:val="0"/>
        <w:adjustRightInd w:val="0"/>
        <w:spacing w:before="4" w:after="0" w:line="243" w:lineRule="auto"/>
        <w:ind w:left="972" w:right="1203" w:firstLine="701"/>
        <w:jc w:val="both"/>
        <w:rPr>
          <w:rFonts w:ascii="Arial" w:hAnsi="Arial" w:cs="Arial"/>
          <w:color w:val="000000"/>
          <w:spacing w:val="-2"/>
          <w:w w:val="101"/>
          <w:sz w:val="23"/>
          <w:szCs w:val="23"/>
          <w:lang w:val="es-ES"/>
        </w:rPr>
      </w:pPr>
    </w:p>
    <w:p w:rsidR="007E1A41" w:rsidRPr="00B07FF1" w:rsidRDefault="007E1A41" w:rsidP="007E1A41">
      <w:pPr>
        <w:jc w:val="both"/>
        <w:rPr>
          <w:rFonts w:ascii="Arial" w:hAnsi="Arial" w:cs="Arial"/>
          <w:color w:val="76A0CC"/>
          <w:lang w:val="es-ES"/>
        </w:rPr>
      </w:pPr>
      <w:r w:rsidRPr="00BC5D6A"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0D434" wp14:editId="21F9AB94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6172200" cy="0"/>
                <wp:effectExtent l="0" t="19050" r="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7294B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2.7pt" to="48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" strokecolor="#7294b3" strokeweight="2.25pt"/>
            </w:pict>
          </mc:Fallback>
        </mc:AlternateContent>
      </w:r>
    </w:p>
    <w:p w:rsidR="00B07FF1" w:rsidRDefault="00B07FF1" w:rsidP="007E1A41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 w:rsidRPr="00B07FF1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El evento clave de los últimos meses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en los mercados de divisas ha sido el anuncio, por parte de la Reserva Federal estadounidense, de que planea empezar a recortar las compras de bonos en el futuro próximo. En respuesta, los tipos de interés en EEUU </w:t>
      </w:r>
      <w:r w:rsidR="00740685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subieron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fuertemente, y los flujos de cartera </w:t>
      </w:r>
      <w:r w:rsidR="00EB4993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hacia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mercados emergentes se han dado la vuelta, en ocasiones de forma violenta.</w:t>
      </w:r>
      <w:r w:rsidR="00740685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Aunque la Reserva Federal parece haber retrasado el momento en el que planea comenzar el recorte, de setiembre a diciembre, parece claro que, por primera vez desde la crisis de 2008-9, los mercados no podrán contar con la indulgencia sine die por parte de las autoridades monetarias estadounidenses.</w:t>
      </w:r>
    </w:p>
    <w:p w:rsidR="006F15C9" w:rsidRDefault="00CF6C0E" w:rsidP="007E1A41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En </w:t>
      </w:r>
      <w:r w:rsidR="00EB4993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Ebury Partners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hemos desarrollado un marco de análisis para identificar a los países más vulnerables a la normalización de los tipos de interés en las economías desarrolladas. Los factores críticos que </w:t>
      </w:r>
      <w:r w:rsidR="00B75D56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hemos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identificado son</w:t>
      </w:r>
      <w:r w:rsidR="00B75D56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el déficit por cuenta corriente, que mide la necesidad de financiación externa de una economía; </w:t>
      </w:r>
      <w:r w:rsidR="00067808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la calidad de los flujos financieros que financian dicho déficit; el estado de las finanzas públicas (déficit y carga de deuda)</w:t>
      </w:r>
      <w:r w:rsidR="006F15C9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; </w:t>
      </w:r>
      <w:r w:rsidR="008800AC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y, finalmente, </w:t>
      </w:r>
      <w:r w:rsidR="006F15C9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las reservas de divisas de que disponen las autoridades para defender </w:t>
      </w:r>
      <w:r w:rsidR="008800AC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y estabilizar el tipo de cambio. </w:t>
      </w:r>
      <w:r w:rsidR="006F15C9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Turquía presenta una situación complicada en este análisis:</w:t>
      </w:r>
    </w:p>
    <w:p w:rsidR="00CF6C0E" w:rsidRDefault="00CF6C0E" w:rsidP="00CF6C0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El déficit </w:t>
      </w:r>
      <w:r w:rsidR="006F15C9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por cuenta corriente es relativamente alto, un 6% del producto nacional bruto. No se prevé mejoras significativas pa</w:t>
      </w:r>
      <w:r w:rsidR="00E4482B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ra este año, y el déficit parece que oscilará entre un 6% y un 7% en el futuro.</w:t>
      </w:r>
    </w:p>
    <w:p w:rsidR="00CF6C0E" w:rsidRDefault="00E4482B" w:rsidP="00CF6C0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Dada la ralentización de la inversión extranjera directa, el déficit por cuenta corriente depende de flujos de cartera para su financiación, es decir, inversiones directas en bonos y acciones turcas. Estos flujos son más volátiles y menos predecibles, y por tanto aumentan la vulnerabilidad de la divisa.</w:t>
      </w:r>
    </w:p>
    <w:p w:rsidR="00E4482B" w:rsidRDefault="0021382E" w:rsidP="00CF6C0E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Turquía dispone de reservas de divisas netas equivalentes a menos de tres meses de importaciones, el mínimo de 3 meses recomendado por el FMI. La capacidad del Banco Central turco para intervenir en defensa de la lira es limitada.</w:t>
      </w:r>
    </w:p>
    <w:p w:rsidR="00EB4993" w:rsidRDefault="0021382E" w:rsidP="0021382E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Sin embargo, la situación contiene elementos positivos. El estado turco disfruta de unas finanzas muy saneadas, con una deuda pública relativamente baja (36% del PIB) y en claro descenso, y  un déficit de menos del 3% del PIB. La economía parece haber ejecutado con éxito un “aterrizaje suave”</w:t>
      </w:r>
      <w:r w:rsidR="00EB4993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del boom que experimentó entre 2010 y 2012. </w:t>
      </w:r>
    </w:p>
    <w:p w:rsidR="0021382E" w:rsidRDefault="00EB4993" w:rsidP="0021382E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lastRenderedPageBreak/>
        <w:t xml:space="preserve">En </w:t>
      </w:r>
      <w:r w:rsidR="00900B46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síntesis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 xml:space="preserve"> en Ebury Partners proyectamos una depreciación moderada de la lira turca frente al Euro. Esperamos que term</w:t>
      </w:r>
      <w:r w:rsidR="00E05378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ine el año 2013 alrededor de 2.7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0 liras por e</w:t>
      </w:r>
      <w:r w:rsidR="00E05378"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uro, y que se deprecie hasta 2.8</w:t>
      </w: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0 en el 2014.</w:t>
      </w:r>
    </w:p>
    <w:p w:rsidR="003B087B" w:rsidRDefault="003B087B" w:rsidP="0021382E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es-ES"/>
        </w:rPr>
        <w:t>Departamento de estrategia de Ebury Partners.</w:t>
      </w:r>
    </w:p>
    <w:p w:rsidR="003B087B" w:rsidRDefault="003B087B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_tradnl" w:eastAsia="en-US"/>
        </w:rPr>
      </w:pPr>
    </w:p>
    <w:p w:rsidR="003B087B" w:rsidRDefault="003B087B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_tradnl" w:eastAsia="en-US"/>
        </w:rPr>
      </w:pPr>
    </w:p>
    <w:p w:rsidR="003B087B" w:rsidRPr="00900B46" w:rsidRDefault="003B087B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shd w:val="clear" w:color="auto" w:fill="FFFFFF"/>
          <w:lang w:val="es-ES_tradnl" w:eastAsia="en-US"/>
        </w:rPr>
      </w:pPr>
    </w:p>
    <w:p w:rsidR="00900B46" w:rsidRPr="00900B46" w:rsidRDefault="00900B46" w:rsidP="003B087B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val="es-ES_tradnl" w:eastAsia="en-US"/>
        </w:rPr>
      </w:pPr>
      <w:r w:rsidRPr="00900B46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  <w:lang w:val="es-ES_tradnl" w:eastAsia="en-US"/>
        </w:rPr>
        <w:t>Ebury Partners</w:t>
      </w:r>
    </w:p>
    <w:p w:rsidR="00900B46" w:rsidRDefault="00900B46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_tradnl" w:eastAsia="en-US"/>
        </w:rPr>
      </w:pPr>
    </w:p>
    <w:p w:rsidR="003B087B" w:rsidRPr="00900B46" w:rsidRDefault="003B087B" w:rsidP="003B087B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</w:pPr>
      <w:r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Ebury Partners es una empresa especializada en cambio de divisa y gestión de riesgo de tipo de cambio. Como nuevo socio de la </w:t>
      </w:r>
      <w:r w:rsidR="00871542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>Cámara</w:t>
      </w:r>
      <w:r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 Hispano-Turca espera poder ayudar a las empresas asociadas en toda su operativa de comercio internacional que implique </w:t>
      </w:r>
      <w:r w:rsidR="00871542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>riesgo de cambio de divisa</w:t>
      </w:r>
      <w:r w:rsidR="00900B46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>;</w:t>
      </w:r>
      <w:r w:rsidR="00871542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 mantenimiento de filiales, gasto de personal local, inversión, exportaciones facturadas en liras o dólares, </w:t>
      </w:r>
      <w:r w:rsidR="00900B46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pago a proveedores, </w:t>
      </w:r>
      <w:r w:rsidR="00871542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etc.  Ebury Partners, es la primera mesa de tesorería para cotizaciones spot/seguros de tipo de cambio como alternativa a la banca tradicional. </w:t>
      </w:r>
      <w:r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>La compañía, con sedes en Londres y M</w:t>
      </w:r>
      <w:r w:rsidR="00871542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>adrid,  da servicio a más de 1.5</w:t>
      </w:r>
      <w:r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00 empresas, </w:t>
      </w:r>
      <w:r w:rsidR="00871542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>de las cuales alrededor de doscientas</w:t>
      </w:r>
      <w:r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 son españolas. </w:t>
      </w:r>
      <w:r w:rsidR="00900B46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Su actividad está regulada por la FCA y registrada </w:t>
      </w:r>
      <w:r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>en el Banco de España.</w:t>
      </w:r>
      <w:r w:rsidR="00900B46" w:rsidRPr="00900B46">
        <w:rPr>
          <w:rFonts w:ascii="Arial" w:eastAsia="Times New Roman" w:hAnsi="Arial" w:cs="Arial"/>
          <w:color w:val="888888"/>
          <w:sz w:val="24"/>
          <w:szCs w:val="24"/>
          <w:lang w:val="es-ES" w:eastAsia="es-ES"/>
        </w:rPr>
        <w:t xml:space="preserve"> </w:t>
      </w:r>
    </w:p>
    <w:p w:rsidR="00900B46" w:rsidRDefault="00900B46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_tradnl" w:eastAsia="en-US"/>
        </w:rPr>
      </w:pPr>
    </w:p>
    <w:p w:rsidR="00900B46" w:rsidRDefault="00900B46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_tradnl" w:eastAsia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_tradnl" w:eastAsia="en-US"/>
        </w:rPr>
        <w:t>Datos de contacto España:</w:t>
      </w:r>
    </w:p>
    <w:p w:rsidR="00900B46" w:rsidRDefault="00900B46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_tradnl" w:eastAsia="en-US"/>
        </w:rPr>
      </w:pP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7F7F7F"/>
        </w:rPr>
        <w:t>Elena Busquiel</w:t>
      </w: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74A0CE"/>
        </w:rPr>
        <w:t>Directora Desarrollo Corporativo</w:t>
      </w: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888888"/>
        </w:rPr>
        <w:t>Ebury Partners España</w:t>
      </w: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888888"/>
        </w:rPr>
        <w:t xml:space="preserve">Tel +34 918 293 722 | </w:t>
      </w:r>
    </w:p>
    <w:p w:rsidR="00900B46" w:rsidRDefault="00D54100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8" w:tgtFrame="_blank" w:history="1">
        <w:r w:rsidR="00900B46" w:rsidRPr="00900B46">
          <w:rPr>
            <w:rStyle w:val="Hipervnculo"/>
            <w:rFonts w:ascii="Arial" w:hAnsi="Arial" w:cs="Arial"/>
            <w:color w:val="74A0CE"/>
          </w:rPr>
          <w:t>elena.busquiel@eburypartners.com</w:t>
        </w:r>
      </w:hyperlink>
      <w:r w:rsidR="00900B46">
        <w:rPr>
          <w:rFonts w:ascii="Arial" w:hAnsi="Arial" w:cs="Arial"/>
          <w:color w:val="74A0CE"/>
        </w:rPr>
        <w:t xml:space="preserve"> | </w:t>
      </w:r>
      <w:hyperlink r:id="rId9" w:tgtFrame="_blank" w:history="1">
        <w:r w:rsidR="00900B46">
          <w:rPr>
            <w:rStyle w:val="Hipervnculo"/>
            <w:rFonts w:ascii="Arial" w:hAnsi="Arial" w:cs="Arial"/>
            <w:color w:val="74A0CE"/>
          </w:rPr>
          <w:t>www.eburypartners.es</w:t>
        </w:r>
      </w:hyperlink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5C6266"/>
        </w:rPr>
        <w:t>C/ Montalbán 7, 6ª Planta | Madrid | 28014</w:t>
      </w: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962150" cy="295275"/>
            <wp:effectExtent l="0" t="0" r="0" b="9525"/>
            <wp:docPr id="3" name="Picture 3" descr="https://lh4.googleusercontent.com/N5M7mEhq5mxs3TUCsQ-oOhxFjburUjWs1p5D690A1eYaErV3p5ZQhcuOOecNHsVyorRh4upqIMnQs1QOA8_QFHwXxjt6R8Lhw5ybWpFLslET6-iV9MdFaXjW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N5M7mEhq5mxs3TUCsQ-oOhxFjburUjWs1p5D690A1eYaErV3p5ZQhcuOOecNHsVyorRh4upqIMnQs1QOA8_QFHwXxjt6R8Lhw5ybWpFLslET6-iV9MdFaXjWH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222222"/>
        </w:rPr>
      </w:pPr>
    </w:p>
    <w:p w:rsidR="00900B46" w:rsidRDefault="00900B46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5C6266"/>
        </w:rPr>
        <w:t>Síguenos</w:t>
      </w:r>
    </w:p>
    <w:p w:rsidR="00900B46" w:rsidRDefault="00D54100" w:rsidP="00900B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hyperlink r:id="rId11" w:tgtFrame="_blank" w:history="1">
        <w:r w:rsidR="00900B46">
          <w:rPr>
            <w:rStyle w:val="Hipervnculo"/>
            <w:rFonts w:ascii="Arial" w:hAnsi="Arial" w:cs="Arial"/>
            <w:color w:val="74A0CE"/>
          </w:rPr>
          <w:t>Blog</w:t>
        </w:r>
      </w:hyperlink>
      <w:r w:rsidR="00900B46">
        <w:rPr>
          <w:rFonts w:ascii="Arial" w:hAnsi="Arial" w:cs="Arial"/>
          <w:color w:val="74A0CE"/>
        </w:rPr>
        <w:t xml:space="preserve"> | </w:t>
      </w:r>
      <w:hyperlink r:id="rId12" w:tgtFrame="_blank" w:history="1">
        <w:r w:rsidR="00900B46">
          <w:rPr>
            <w:rStyle w:val="Hipervnculo"/>
            <w:rFonts w:ascii="Arial" w:hAnsi="Arial" w:cs="Arial"/>
            <w:color w:val="74A0CE"/>
          </w:rPr>
          <w:t>Twitter</w:t>
        </w:r>
      </w:hyperlink>
      <w:r w:rsidR="00900B46">
        <w:rPr>
          <w:rFonts w:ascii="Arial" w:hAnsi="Arial" w:cs="Arial"/>
          <w:color w:val="74A0CE"/>
        </w:rPr>
        <w:t xml:space="preserve"> | </w:t>
      </w:r>
      <w:hyperlink r:id="rId13" w:tgtFrame="_blank" w:history="1">
        <w:r w:rsidR="00900B46">
          <w:rPr>
            <w:rStyle w:val="Hipervnculo"/>
            <w:rFonts w:ascii="Arial" w:hAnsi="Arial" w:cs="Arial"/>
            <w:color w:val="74A0CE"/>
          </w:rPr>
          <w:t>LinkedIn</w:t>
        </w:r>
      </w:hyperlink>
      <w:r w:rsidR="00900B46">
        <w:rPr>
          <w:rFonts w:ascii="Arial" w:hAnsi="Arial" w:cs="Arial"/>
          <w:color w:val="74A0CE"/>
        </w:rPr>
        <w:t xml:space="preserve"> | </w:t>
      </w:r>
      <w:hyperlink r:id="rId14" w:tgtFrame="_blank" w:history="1">
        <w:r w:rsidR="00900B46">
          <w:rPr>
            <w:rStyle w:val="Hipervnculo"/>
            <w:rFonts w:ascii="Arial" w:hAnsi="Arial" w:cs="Arial"/>
            <w:color w:val="74A0CE"/>
          </w:rPr>
          <w:t xml:space="preserve">Notas de Prensa </w:t>
        </w:r>
      </w:hyperlink>
    </w:p>
    <w:p w:rsidR="00900B46" w:rsidRPr="00900B46" w:rsidRDefault="00900B46" w:rsidP="003B08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es-ES" w:eastAsia="en-US"/>
        </w:rPr>
      </w:pPr>
    </w:p>
    <w:p w:rsidR="003B087B" w:rsidRPr="0021382E" w:rsidRDefault="003B087B" w:rsidP="0021382E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</w:p>
    <w:p w:rsidR="00B07FF1" w:rsidRPr="00B07FF1" w:rsidRDefault="00B07FF1" w:rsidP="007E1A41">
      <w:pPr>
        <w:jc w:val="both"/>
        <w:rPr>
          <w:rFonts w:ascii="Arial" w:hAnsi="Arial" w:cs="Arial"/>
          <w:color w:val="0D0D0D" w:themeColor="text1" w:themeTint="F2"/>
          <w:sz w:val="24"/>
          <w:szCs w:val="24"/>
          <w:lang w:val="es-ES"/>
        </w:rPr>
      </w:pPr>
    </w:p>
    <w:sectPr w:rsidR="00B07FF1" w:rsidRPr="00B07FF1" w:rsidSect="00A63015">
      <w:headerReference w:type="default" r:id="rId15"/>
      <w:footerReference w:type="default" r:id="rId16"/>
      <w:pgSz w:w="11906" w:h="16838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00" w:rsidRDefault="00D54100" w:rsidP="00A63015">
      <w:r>
        <w:separator/>
      </w:r>
    </w:p>
  </w:endnote>
  <w:endnote w:type="continuationSeparator" w:id="0">
    <w:p w:rsidR="00D54100" w:rsidRDefault="00D54100" w:rsidP="00A6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42" w:rsidRPr="00A63015" w:rsidRDefault="00871542" w:rsidP="00A63015">
    <w:pPr>
      <w:pStyle w:val="Piedepgina"/>
      <w:jc w:val="center"/>
      <w:rPr>
        <w:color w:val="003567"/>
      </w:rPr>
    </w:pPr>
    <w:r w:rsidRPr="00A63015">
      <w:rPr>
        <w:color w:val="003567"/>
      </w:rPr>
      <w:t>Ebury Partners UK Ltd</w:t>
    </w:r>
  </w:p>
  <w:p w:rsidR="00871542" w:rsidRPr="00A63015" w:rsidRDefault="00871542" w:rsidP="00A63015">
    <w:pPr>
      <w:pStyle w:val="Piedepgina"/>
      <w:jc w:val="center"/>
      <w:rPr>
        <w:color w:val="003567"/>
      </w:rPr>
    </w:pPr>
    <w:r w:rsidRPr="00A63015">
      <w:rPr>
        <w:color w:val="003567"/>
      </w:rPr>
      <w:t>Registered in England: registration number 07088713</w:t>
    </w:r>
  </w:p>
  <w:p w:rsidR="00871542" w:rsidRDefault="00871542" w:rsidP="00A630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00" w:rsidRDefault="00D54100" w:rsidP="00A63015">
      <w:r>
        <w:separator/>
      </w:r>
    </w:p>
  </w:footnote>
  <w:footnote w:type="continuationSeparator" w:id="0">
    <w:p w:rsidR="00D54100" w:rsidRDefault="00D54100" w:rsidP="00A63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42" w:rsidRPr="00A63015" w:rsidRDefault="00871542" w:rsidP="003B087B">
    <w:pPr>
      <w:pStyle w:val="Encabezado"/>
      <w:tabs>
        <w:tab w:val="clear" w:pos="9026"/>
        <w:tab w:val="right" w:pos="9356"/>
      </w:tabs>
      <w:jc w:val="center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B407612" wp14:editId="52FE77DD">
          <wp:simplePos x="0" y="0"/>
          <wp:positionH relativeFrom="column">
            <wp:posOffset>4051300</wp:posOffset>
          </wp:positionH>
          <wp:positionV relativeFrom="paragraph">
            <wp:posOffset>-161925</wp:posOffset>
          </wp:positionV>
          <wp:extent cx="2349500" cy="628650"/>
          <wp:effectExtent l="0" t="0" r="1270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urylogo-ES-lon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938"/>
                  <a:stretch/>
                </pic:blipFill>
                <pic:spPr bwMode="auto">
                  <a:xfrm>
                    <a:off x="0" y="0"/>
                    <a:ext cx="2349500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9F1E0E4" wp14:editId="7F4D8050">
          <wp:simplePos x="0" y="0"/>
          <wp:positionH relativeFrom="column">
            <wp:posOffset>-937260</wp:posOffset>
          </wp:positionH>
          <wp:positionV relativeFrom="paragraph">
            <wp:posOffset>-449580</wp:posOffset>
          </wp:positionV>
          <wp:extent cx="650240" cy="10695940"/>
          <wp:effectExtent l="19050" t="0" r="0" b="0"/>
          <wp:wrapSquare wrapText="bothSides"/>
          <wp:docPr id="1" name="Picture 1" descr="blueVerti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Vertical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0240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71542" w:rsidRDefault="00871542" w:rsidP="00A63015">
    <w:pPr>
      <w:pStyle w:val="Encabezado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6D7D"/>
    <w:multiLevelType w:val="hybridMultilevel"/>
    <w:tmpl w:val="204A277A"/>
    <w:lvl w:ilvl="0" w:tplc="D6D40F2A">
      <w:start w:val="1"/>
      <w:numFmt w:val="lowerLetter"/>
      <w:lvlText w:val="%1)"/>
      <w:lvlJc w:val="left"/>
      <w:pPr>
        <w:ind w:left="2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3" w:hanging="360"/>
      </w:pPr>
    </w:lvl>
    <w:lvl w:ilvl="2" w:tplc="0409001B" w:tentative="1">
      <w:start w:val="1"/>
      <w:numFmt w:val="lowerRoman"/>
      <w:lvlText w:val="%3."/>
      <w:lvlJc w:val="right"/>
      <w:pPr>
        <w:ind w:left="3473" w:hanging="180"/>
      </w:pPr>
    </w:lvl>
    <w:lvl w:ilvl="3" w:tplc="0409000F" w:tentative="1">
      <w:start w:val="1"/>
      <w:numFmt w:val="decimal"/>
      <w:lvlText w:val="%4."/>
      <w:lvlJc w:val="left"/>
      <w:pPr>
        <w:ind w:left="4193" w:hanging="360"/>
      </w:pPr>
    </w:lvl>
    <w:lvl w:ilvl="4" w:tplc="04090019" w:tentative="1">
      <w:start w:val="1"/>
      <w:numFmt w:val="lowerLetter"/>
      <w:lvlText w:val="%5."/>
      <w:lvlJc w:val="left"/>
      <w:pPr>
        <w:ind w:left="4913" w:hanging="360"/>
      </w:pPr>
    </w:lvl>
    <w:lvl w:ilvl="5" w:tplc="0409001B" w:tentative="1">
      <w:start w:val="1"/>
      <w:numFmt w:val="lowerRoman"/>
      <w:lvlText w:val="%6."/>
      <w:lvlJc w:val="right"/>
      <w:pPr>
        <w:ind w:left="5633" w:hanging="180"/>
      </w:pPr>
    </w:lvl>
    <w:lvl w:ilvl="6" w:tplc="0409000F" w:tentative="1">
      <w:start w:val="1"/>
      <w:numFmt w:val="decimal"/>
      <w:lvlText w:val="%7."/>
      <w:lvlJc w:val="left"/>
      <w:pPr>
        <w:ind w:left="6353" w:hanging="360"/>
      </w:pPr>
    </w:lvl>
    <w:lvl w:ilvl="7" w:tplc="04090019" w:tentative="1">
      <w:start w:val="1"/>
      <w:numFmt w:val="lowerLetter"/>
      <w:lvlText w:val="%8."/>
      <w:lvlJc w:val="left"/>
      <w:pPr>
        <w:ind w:left="7073" w:hanging="360"/>
      </w:pPr>
    </w:lvl>
    <w:lvl w:ilvl="8" w:tplc="040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1">
    <w:nsid w:val="12382017"/>
    <w:multiLevelType w:val="hybridMultilevel"/>
    <w:tmpl w:val="53008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004E8"/>
    <w:multiLevelType w:val="hybridMultilevel"/>
    <w:tmpl w:val="70F25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B2D9A"/>
    <w:multiLevelType w:val="hybridMultilevel"/>
    <w:tmpl w:val="11C04B50"/>
    <w:lvl w:ilvl="0" w:tplc="A35473E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55FA1"/>
    <w:multiLevelType w:val="hybridMultilevel"/>
    <w:tmpl w:val="9A622382"/>
    <w:lvl w:ilvl="0" w:tplc="A0CAF99C">
      <w:start w:val="1"/>
      <w:numFmt w:val="lowerLetter"/>
      <w:lvlText w:val="%1)"/>
      <w:lvlJc w:val="left"/>
      <w:pPr>
        <w:ind w:left="2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3" w:hanging="360"/>
      </w:pPr>
    </w:lvl>
    <w:lvl w:ilvl="2" w:tplc="0409001B" w:tentative="1">
      <w:start w:val="1"/>
      <w:numFmt w:val="lowerRoman"/>
      <w:lvlText w:val="%3."/>
      <w:lvlJc w:val="right"/>
      <w:pPr>
        <w:ind w:left="3473" w:hanging="180"/>
      </w:pPr>
    </w:lvl>
    <w:lvl w:ilvl="3" w:tplc="0409000F" w:tentative="1">
      <w:start w:val="1"/>
      <w:numFmt w:val="decimal"/>
      <w:lvlText w:val="%4."/>
      <w:lvlJc w:val="left"/>
      <w:pPr>
        <w:ind w:left="4193" w:hanging="360"/>
      </w:pPr>
    </w:lvl>
    <w:lvl w:ilvl="4" w:tplc="04090019" w:tentative="1">
      <w:start w:val="1"/>
      <w:numFmt w:val="lowerLetter"/>
      <w:lvlText w:val="%5."/>
      <w:lvlJc w:val="left"/>
      <w:pPr>
        <w:ind w:left="4913" w:hanging="360"/>
      </w:pPr>
    </w:lvl>
    <w:lvl w:ilvl="5" w:tplc="0409001B" w:tentative="1">
      <w:start w:val="1"/>
      <w:numFmt w:val="lowerRoman"/>
      <w:lvlText w:val="%6."/>
      <w:lvlJc w:val="right"/>
      <w:pPr>
        <w:ind w:left="5633" w:hanging="180"/>
      </w:pPr>
    </w:lvl>
    <w:lvl w:ilvl="6" w:tplc="0409000F" w:tentative="1">
      <w:start w:val="1"/>
      <w:numFmt w:val="decimal"/>
      <w:lvlText w:val="%7."/>
      <w:lvlJc w:val="left"/>
      <w:pPr>
        <w:ind w:left="6353" w:hanging="360"/>
      </w:pPr>
    </w:lvl>
    <w:lvl w:ilvl="7" w:tplc="04090019" w:tentative="1">
      <w:start w:val="1"/>
      <w:numFmt w:val="lowerLetter"/>
      <w:lvlText w:val="%8."/>
      <w:lvlJc w:val="left"/>
      <w:pPr>
        <w:ind w:left="7073" w:hanging="360"/>
      </w:pPr>
    </w:lvl>
    <w:lvl w:ilvl="8" w:tplc="040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5">
    <w:nsid w:val="3F601431"/>
    <w:multiLevelType w:val="hybridMultilevel"/>
    <w:tmpl w:val="1D2EF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8164A"/>
    <w:multiLevelType w:val="hybridMultilevel"/>
    <w:tmpl w:val="70F25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F212F"/>
    <w:multiLevelType w:val="hybridMultilevel"/>
    <w:tmpl w:val="8BDAC034"/>
    <w:lvl w:ilvl="0" w:tplc="E1808346">
      <w:start w:val="1"/>
      <w:numFmt w:val="decimal"/>
      <w:lvlText w:val="%1)"/>
      <w:lvlJc w:val="left"/>
      <w:pPr>
        <w:ind w:left="2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3" w:hanging="360"/>
      </w:pPr>
    </w:lvl>
    <w:lvl w:ilvl="2" w:tplc="0409001B" w:tentative="1">
      <w:start w:val="1"/>
      <w:numFmt w:val="lowerRoman"/>
      <w:lvlText w:val="%3."/>
      <w:lvlJc w:val="right"/>
      <w:pPr>
        <w:ind w:left="3473" w:hanging="180"/>
      </w:pPr>
    </w:lvl>
    <w:lvl w:ilvl="3" w:tplc="0409000F" w:tentative="1">
      <w:start w:val="1"/>
      <w:numFmt w:val="decimal"/>
      <w:lvlText w:val="%4."/>
      <w:lvlJc w:val="left"/>
      <w:pPr>
        <w:ind w:left="4193" w:hanging="360"/>
      </w:pPr>
    </w:lvl>
    <w:lvl w:ilvl="4" w:tplc="04090019" w:tentative="1">
      <w:start w:val="1"/>
      <w:numFmt w:val="lowerLetter"/>
      <w:lvlText w:val="%5."/>
      <w:lvlJc w:val="left"/>
      <w:pPr>
        <w:ind w:left="4913" w:hanging="360"/>
      </w:pPr>
    </w:lvl>
    <w:lvl w:ilvl="5" w:tplc="0409001B" w:tentative="1">
      <w:start w:val="1"/>
      <w:numFmt w:val="lowerRoman"/>
      <w:lvlText w:val="%6."/>
      <w:lvlJc w:val="right"/>
      <w:pPr>
        <w:ind w:left="5633" w:hanging="180"/>
      </w:pPr>
    </w:lvl>
    <w:lvl w:ilvl="6" w:tplc="0409000F" w:tentative="1">
      <w:start w:val="1"/>
      <w:numFmt w:val="decimal"/>
      <w:lvlText w:val="%7."/>
      <w:lvlJc w:val="left"/>
      <w:pPr>
        <w:ind w:left="6353" w:hanging="360"/>
      </w:pPr>
    </w:lvl>
    <w:lvl w:ilvl="7" w:tplc="04090019" w:tentative="1">
      <w:start w:val="1"/>
      <w:numFmt w:val="lowerLetter"/>
      <w:lvlText w:val="%8."/>
      <w:lvlJc w:val="left"/>
      <w:pPr>
        <w:ind w:left="7073" w:hanging="360"/>
      </w:pPr>
    </w:lvl>
    <w:lvl w:ilvl="8" w:tplc="040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8">
    <w:nsid w:val="623962E9"/>
    <w:multiLevelType w:val="hybridMultilevel"/>
    <w:tmpl w:val="990E48BA"/>
    <w:lvl w:ilvl="0" w:tplc="F11A18D8">
      <w:start w:val="1"/>
      <w:numFmt w:val="lowerLetter"/>
      <w:lvlText w:val="%1)"/>
      <w:lvlJc w:val="left"/>
      <w:pPr>
        <w:ind w:left="2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3" w:hanging="360"/>
      </w:pPr>
    </w:lvl>
    <w:lvl w:ilvl="2" w:tplc="0409001B" w:tentative="1">
      <w:start w:val="1"/>
      <w:numFmt w:val="lowerRoman"/>
      <w:lvlText w:val="%3."/>
      <w:lvlJc w:val="right"/>
      <w:pPr>
        <w:ind w:left="3473" w:hanging="180"/>
      </w:pPr>
    </w:lvl>
    <w:lvl w:ilvl="3" w:tplc="0409000F" w:tentative="1">
      <w:start w:val="1"/>
      <w:numFmt w:val="decimal"/>
      <w:lvlText w:val="%4."/>
      <w:lvlJc w:val="left"/>
      <w:pPr>
        <w:ind w:left="4193" w:hanging="360"/>
      </w:pPr>
    </w:lvl>
    <w:lvl w:ilvl="4" w:tplc="04090019" w:tentative="1">
      <w:start w:val="1"/>
      <w:numFmt w:val="lowerLetter"/>
      <w:lvlText w:val="%5."/>
      <w:lvlJc w:val="left"/>
      <w:pPr>
        <w:ind w:left="4913" w:hanging="360"/>
      </w:pPr>
    </w:lvl>
    <w:lvl w:ilvl="5" w:tplc="0409001B" w:tentative="1">
      <w:start w:val="1"/>
      <w:numFmt w:val="lowerRoman"/>
      <w:lvlText w:val="%6."/>
      <w:lvlJc w:val="right"/>
      <w:pPr>
        <w:ind w:left="5633" w:hanging="180"/>
      </w:pPr>
    </w:lvl>
    <w:lvl w:ilvl="6" w:tplc="0409000F" w:tentative="1">
      <w:start w:val="1"/>
      <w:numFmt w:val="decimal"/>
      <w:lvlText w:val="%7."/>
      <w:lvlJc w:val="left"/>
      <w:pPr>
        <w:ind w:left="6353" w:hanging="360"/>
      </w:pPr>
    </w:lvl>
    <w:lvl w:ilvl="7" w:tplc="04090019" w:tentative="1">
      <w:start w:val="1"/>
      <w:numFmt w:val="lowerLetter"/>
      <w:lvlText w:val="%8."/>
      <w:lvlJc w:val="left"/>
      <w:pPr>
        <w:ind w:left="7073" w:hanging="360"/>
      </w:pPr>
    </w:lvl>
    <w:lvl w:ilvl="8" w:tplc="0409001B" w:tentative="1">
      <w:start w:val="1"/>
      <w:numFmt w:val="lowerRoman"/>
      <w:lvlText w:val="%9."/>
      <w:lvlJc w:val="right"/>
      <w:pPr>
        <w:ind w:left="7793" w:hanging="180"/>
      </w:pPr>
    </w:lvl>
  </w:abstractNum>
  <w:abstractNum w:abstractNumId="9">
    <w:nsid w:val="6E061FB9"/>
    <w:multiLevelType w:val="hybridMultilevel"/>
    <w:tmpl w:val="530083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0E85"/>
    <w:multiLevelType w:val="hybridMultilevel"/>
    <w:tmpl w:val="1214D6BA"/>
    <w:lvl w:ilvl="0" w:tplc="62C220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43619"/>
    <w:multiLevelType w:val="hybridMultilevel"/>
    <w:tmpl w:val="D882AA6C"/>
    <w:lvl w:ilvl="0" w:tplc="1958AA9C">
      <w:start w:val="1"/>
      <w:numFmt w:val="decimal"/>
      <w:lvlText w:val="%1)"/>
      <w:lvlJc w:val="left"/>
      <w:pPr>
        <w:ind w:left="20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3" w:hanging="360"/>
      </w:pPr>
    </w:lvl>
    <w:lvl w:ilvl="2" w:tplc="0409001B" w:tentative="1">
      <w:start w:val="1"/>
      <w:numFmt w:val="lowerRoman"/>
      <w:lvlText w:val="%3."/>
      <w:lvlJc w:val="right"/>
      <w:pPr>
        <w:ind w:left="3473" w:hanging="180"/>
      </w:pPr>
    </w:lvl>
    <w:lvl w:ilvl="3" w:tplc="0409000F" w:tentative="1">
      <w:start w:val="1"/>
      <w:numFmt w:val="decimal"/>
      <w:lvlText w:val="%4."/>
      <w:lvlJc w:val="left"/>
      <w:pPr>
        <w:ind w:left="4193" w:hanging="360"/>
      </w:pPr>
    </w:lvl>
    <w:lvl w:ilvl="4" w:tplc="04090019" w:tentative="1">
      <w:start w:val="1"/>
      <w:numFmt w:val="lowerLetter"/>
      <w:lvlText w:val="%5."/>
      <w:lvlJc w:val="left"/>
      <w:pPr>
        <w:ind w:left="4913" w:hanging="360"/>
      </w:pPr>
    </w:lvl>
    <w:lvl w:ilvl="5" w:tplc="0409001B" w:tentative="1">
      <w:start w:val="1"/>
      <w:numFmt w:val="lowerRoman"/>
      <w:lvlText w:val="%6."/>
      <w:lvlJc w:val="right"/>
      <w:pPr>
        <w:ind w:left="5633" w:hanging="180"/>
      </w:pPr>
    </w:lvl>
    <w:lvl w:ilvl="6" w:tplc="0409000F" w:tentative="1">
      <w:start w:val="1"/>
      <w:numFmt w:val="decimal"/>
      <w:lvlText w:val="%7."/>
      <w:lvlJc w:val="left"/>
      <w:pPr>
        <w:ind w:left="6353" w:hanging="360"/>
      </w:pPr>
    </w:lvl>
    <w:lvl w:ilvl="7" w:tplc="04090019" w:tentative="1">
      <w:start w:val="1"/>
      <w:numFmt w:val="lowerLetter"/>
      <w:lvlText w:val="%8."/>
      <w:lvlJc w:val="left"/>
      <w:pPr>
        <w:ind w:left="7073" w:hanging="360"/>
      </w:pPr>
    </w:lvl>
    <w:lvl w:ilvl="8" w:tplc="0409001B" w:tentative="1">
      <w:start w:val="1"/>
      <w:numFmt w:val="lowerRoman"/>
      <w:lvlText w:val="%9."/>
      <w:lvlJc w:val="right"/>
      <w:pPr>
        <w:ind w:left="7793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07"/>
    <w:rsid w:val="00042AA0"/>
    <w:rsid w:val="00042BD3"/>
    <w:rsid w:val="00067808"/>
    <w:rsid w:val="000A3BD3"/>
    <w:rsid w:val="000C7048"/>
    <w:rsid w:val="000E017F"/>
    <w:rsid w:val="000E222A"/>
    <w:rsid w:val="000E4EDE"/>
    <w:rsid w:val="000E5E15"/>
    <w:rsid w:val="00115FB1"/>
    <w:rsid w:val="00124F58"/>
    <w:rsid w:val="00131490"/>
    <w:rsid w:val="00162BB3"/>
    <w:rsid w:val="00171BD7"/>
    <w:rsid w:val="00183DF6"/>
    <w:rsid w:val="00186423"/>
    <w:rsid w:val="001865E1"/>
    <w:rsid w:val="001917BE"/>
    <w:rsid w:val="001B470A"/>
    <w:rsid w:val="001D13CC"/>
    <w:rsid w:val="001D2334"/>
    <w:rsid w:val="001F185F"/>
    <w:rsid w:val="001F25AC"/>
    <w:rsid w:val="0021382E"/>
    <w:rsid w:val="00230635"/>
    <w:rsid w:val="00230951"/>
    <w:rsid w:val="002326A0"/>
    <w:rsid w:val="00244B86"/>
    <w:rsid w:val="00253C9C"/>
    <w:rsid w:val="002C1D25"/>
    <w:rsid w:val="002D3653"/>
    <w:rsid w:val="002E3158"/>
    <w:rsid w:val="002F0397"/>
    <w:rsid w:val="002F0A2A"/>
    <w:rsid w:val="003060F0"/>
    <w:rsid w:val="00333284"/>
    <w:rsid w:val="00355D82"/>
    <w:rsid w:val="00367131"/>
    <w:rsid w:val="003916C8"/>
    <w:rsid w:val="003A699E"/>
    <w:rsid w:val="003B087B"/>
    <w:rsid w:val="003B0D43"/>
    <w:rsid w:val="003B1D73"/>
    <w:rsid w:val="003C7296"/>
    <w:rsid w:val="003D10E6"/>
    <w:rsid w:val="003D7135"/>
    <w:rsid w:val="003E2754"/>
    <w:rsid w:val="003E354F"/>
    <w:rsid w:val="004050AC"/>
    <w:rsid w:val="0041300B"/>
    <w:rsid w:val="00431BB2"/>
    <w:rsid w:val="004403A3"/>
    <w:rsid w:val="00450E04"/>
    <w:rsid w:val="00454995"/>
    <w:rsid w:val="00455F05"/>
    <w:rsid w:val="0046111A"/>
    <w:rsid w:val="00464A1B"/>
    <w:rsid w:val="00475F15"/>
    <w:rsid w:val="00485813"/>
    <w:rsid w:val="00485E7E"/>
    <w:rsid w:val="00490232"/>
    <w:rsid w:val="004B2C11"/>
    <w:rsid w:val="004E05FB"/>
    <w:rsid w:val="005025B3"/>
    <w:rsid w:val="00505888"/>
    <w:rsid w:val="00513EDF"/>
    <w:rsid w:val="00513FA3"/>
    <w:rsid w:val="00514D27"/>
    <w:rsid w:val="0052626F"/>
    <w:rsid w:val="00543377"/>
    <w:rsid w:val="005554BD"/>
    <w:rsid w:val="00560C61"/>
    <w:rsid w:val="005651F2"/>
    <w:rsid w:val="00566BFA"/>
    <w:rsid w:val="00573B91"/>
    <w:rsid w:val="00585FB5"/>
    <w:rsid w:val="00596107"/>
    <w:rsid w:val="005A5A1E"/>
    <w:rsid w:val="006141AE"/>
    <w:rsid w:val="006354FC"/>
    <w:rsid w:val="00645C65"/>
    <w:rsid w:val="0065112F"/>
    <w:rsid w:val="006631D5"/>
    <w:rsid w:val="0067092C"/>
    <w:rsid w:val="0067302E"/>
    <w:rsid w:val="006747C5"/>
    <w:rsid w:val="006A6D26"/>
    <w:rsid w:val="006B5817"/>
    <w:rsid w:val="006B6D79"/>
    <w:rsid w:val="006F15C9"/>
    <w:rsid w:val="00740685"/>
    <w:rsid w:val="00741FF1"/>
    <w:rsid w:val="00750685"/>
    <w:rsid w:val="007606B7"/>
    <w:rsid w:val="007A35CA"/>
    <w:rsid w:val="007B1968"/>
    <w:rsid w:val="007C10CE"/>
    <w:rsid w:val="007D27CB"/>
    <w:rsid w:val="007E1A41"/>
    <w:rsid w:val="0080413A"/>
    <w:rsid w:val="008064AD"/>
    <w:rsid w:val="00814E5C"/>
    <w:rsid w:val="0082630D"/>
    <w:rsid w:val="00841206"/>
    <w:rsid w:val="00851858"/>
    <w:rsid w:val="00853F1C"/>
    <w:rsid w:val="0085780F"/>
    <w:rsid w:val="0086411D"/>
    <w:rsid w:val="00871542"/>
    <w:rsid w:val="008800AC"/>
    <w:rsid w:val="008A1151"/>
    <w:rsid w:val="008A132C"/>
    <w:rsid w:val="008A24CE"/>
    <w:rsid w:val="008B4EB4"/>
    <w:rsid w:val="008E12E2"/>
    <w:rsid w:val="008E6760"/>
    <w:rsid w:val="00900B46"/>
    <w:rsid w:val="0090635D"/>
    <w:rsid w:val="00920803"/>
    <w:rsid w:val="00954E61"/>
    <w:rsid w:val="00981360"/>
    <w:rsid w:val="00984B44"/>
    <w:rsid w:val="009A33FD"/>
    <w:rsid w:val="009A44ED"/>
    <w:rsid w:val="009C02D7"/>
    <w:rsid w:val="009D2F37"/>
    <w:rsid w:val="009E40C3"/>
    <w:rsid w:val="009E7C5B"/>
    <w:rsid w:val="00A325C4"/>
    <w:rsid w:val="00A63015"/>
    <w:rsid w:val="00A74153"/>
    <w:rsid w:val="00A81CD6"/>
    <w:rsid w:val="00A85518"/>
    <w:rsid w:val="00A87062"/>
    <w:rsid w:val="00AA2C4E"/>
    <w:rsid w:val="00AA46B6"/>
    <w:rsid w:val="00AA782A"/>
    <w:rsid w:val="00AB0204"/>
    <w:rsid w:val="00AB2A77"/>
    <w:rsid w:val="00B07FF1"/>
    <w:rsid w:val="00B111B4"/>
    <w:rsid w:val="00B3400C"/>
    <w:rsid w:val="00B41322"/>
    <w:rsid w:val="00B4344C"/>
    <w:rsid w:val="00B500D6"/>
    <w:rsid w:val="00B56C95"/>
    <w:rsid w:val="00B62827"/>
    <w:rsid w:val="00B717FF"/>
    <w:rsid w:val="00B75D56"/>
    <w:rsid w:val="00B815FB"/>
    <w:rsid w:val="00B84969"/>
    <w:rsid w:val="00B96302"/>
    <w:rsid w:val="00BB18F3"/>
    <w:rsid w:val="00BC345B"/>
    <w:rsid w:val="00BC5D6A"/>
    <w:rsid w:val="00BD0621"/>
    <w:rsid w:val="00BD08A7"/>
    <w:rsid w:val="00BF0A9D"/>
    <w:rsid w:val="00C136D3"/>
    <w:rsid w:val="00C52622"/>
    <w:rsid w:val="00C854DE"/>
    <w:rsid w:val="00CA73AE"/>
    <w:rsid w:val="00CB1861"/>
    <w:rsid w:val="00CC35BF"/>
    <w:rsid w:val="00CF4527"/>
    <w:rsid w:val="00CF6C0E"/>
    <w:rsid w:val="00D25E8D"/>
    <w:rsid w:val="00D32020"/>
    <w:rsid w:val="00D53897"/>
    <w:rsid w:val="00D54100"/>
    <w:rsid w:val="00D541E1"/>
    <w:rsid w:val="00D85195"/>
    <w:rsid w:val="00DD06AA"/>
    <w:rsid w:val="00DD5352"/>
    <w:rsid w:val="00DE427B"/>
    <w:rsid w:val="00E02157"/>
    <w:rsid w:val="00E05378"/>
    <w:rsid w:val="00E4482B"/>
    <w:rsid w:val="00E44855"/>
    <w:rsid w:val="00E66824"/>
    <w:rsid w:val="00E826FA"/>
    <w:rsid w:val="00E8324D"/>
    <w:rsid w:val="00E97905"/>
    <w:rsid w:val="00EB4993"/>
    <w:rsid w:val="00EC01E7"/>
    <w:rsid w:val="00EE0149"/>
    <w:rsid w:val="00EE0447"/>
    <w:rsid w:val="00EE1047"/>
    <w:rsid w:val="00EE7B10"/>
    <w:rsid w:val="00EF17FB"/>
    <w:rsid w:val="00F12C98"/>
    <w:rsid w:val="00F224A4"/>
    <w:rsid w:val="00F22BE6"/>
    <w:rsid w:val="00F4272A"/>
    <w:rsid w:val="00F83D00"/>
    <w:rsid w:val="00F875EF"/>
    <w:rsid w:val="00FA2C06"/>
    <w:rsid w:val="00FC7C15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3015"/>
    <w:pPr>
      <w:tabs>
        <w:tab w:val="center" w:pos="4513"/>
        <w:tab w:val="right" w:pos="9026"/>
      </w:tabs>
      <w:spacing w:after="0" w:line="240" w:lineRule="auto"/>
      <w:ind w:left="6480"/>
    </w:pPr>
    <w:rPr>
      <w:color w:val="003567"/>
    </w:rPr>
  </w:style>
  <w:style w:type="character" w:customStyle="1" w:styleId="EncabezadoCar">
    <w:name w:val="Encabezado Car"/>
    <w:basedOn w:val="Fuentedeprrafopredeter"/>
    <w:link w:val="Encabezado"/>
    <w:uiPriority w:val="99"/>
    <w:rsid w:val="00A63015"/>
    <w:rPr>
      <w:color w:val="003567"/>
    </w:rPr>
  </w:style>
  <w:style w:type="paragraph" w:styleId="Piedepgina">
    <w:name w:val="footer"/>
    <w:basedOn w:val="Normal"/>
    <w:link w:val="PiedepginaCar"/>
    <w:uiPriority w:val="99"/>
    <w:unhideWhenUsed/>
    <w:rsid w:val="00A63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015"/>
  </w:style>
  <w:style w:type="paragraph" w:styleId="Prrafodelista">
    <w:name w:val="List Paragraph"/>
    <w:basedOn w:val="Normal"/>
    <w:uiPriority w:val="34"/>
    <w:qFormat/>
    <w:rsid w:val="00DE42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00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D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3015"/>
    <w:pPr>
      <w:tabs>
        <w:tab w:val="center" w:pos="4513"/>
        <w:tab w:val="right" w:pos="9026"/>
      </w:tabs>
      <w:spacing w:after="0" w:line="240" w:lineRule="auto"/>
      <w:ind w:left="6480"/>
    </w:pPr>
    <w:rPr>
      <w:color w:val="003567"/>
    </w:rPr>
  </w:style>
  <w:style w:type="character" w:customStyle="1" w:styleId="EncabezadoCar">
    <w:name w:val="Encabezado Car"/>
    <w:basedOn w:val="Fuentedeprrafopredeter"/>
    <w:link w:val="Encabezado"/>
    <w:uiPriority w:val="99"/>
    <w:rsid w:val="00A63015"/>
    <w:rPr>
      <w:color w:val="003567"/>
    </w:rPr>
  </w:style>
  <w:style w:type="paragraph" w:styleId="Piedepgina">
    <w:name w:val="footer"/>
    <w:basedOn w:val="Normal"/>
    <w:link w:val="PiedepginaCar"/>
    <w:uiPriority w:val="99"/>
    <w:unhideWhenUsed/>
    <w:rsid w:val="00A63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015"/>
  </w:style>
  <w:style w:type="paragraph" w:styleId="Prrafodelista">
    <w:name w:val="List Paragraph"/>
    <w:basedOn w:val="Normal"/>
    <w:uiPriority w:val="34"/>
    <w:qFormat/>
    <w:rsid w:val="00DE42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00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.surname@eburypartners.com" TargetMode="External"/><Relationship Id="rId13" Type="http://schemas.openxmlformats.org/officeDocument/2006/relationships/hyperlink" Target="http://www.linkedin.com/company/963919?trk=tya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witter.com/EburyPartners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burypartners.es/currencyexchange-blog/ve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eburypartners.es/" TargetMode="External"/><Relationship Id="rId14" Type="http://schemas.openxmlformats.org/officeDocument/2006/relationships/hyperlink" Target="http://www.eburypartners.es/prensa/notas-de-prensa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Downloads\EburyPartnersWordTemplate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EburyPartnersWordTemplatev1</Template>
  <TotalTime>0</TotalTime>
  <Pages>2</Pages>
  <Words>642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mozota</cp:lastModifiedBy>
  <cp:revision>2</cp:revision>
  <cp:lastPrinted>2013-08-07T11:02:00Z</cp:lastPrinted>
  <dcterms:created xsi:type="dcterms:W3CDTF">2013-10-21T11:36:00Z</dcterms:created>
  <dcterms:modified xsi:type="dcterms:W3CDTF">2013-10-21T11:36:00Z</dcterms:modified>
</cp:coreProperties>
</file>